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134" w14:textId="181E92C0" w:rsidR="006243F9" w:rsidRPr="00E90318" w:rsidRDefault="0020333E" w:rsidP="00BF54FB">
      <w:pPr>
        <w:pStyle w:val="Title"/>
        <w:spacing w:after="0"/>
        <w:contextualSpacing w:val="0"/>
      </w:pPr>
      <w:r>
        <w:t>Minutes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779D6376" w:rsidR="00F67DA4" w:rsidRPr="00E90318" w:rsidRDefault="009F59D3" w:rsidP="006D1948">
      <w:pPr>
        <w:pStyle w:val="BodyCopy"/>
        <w:tabs>
          <w:tab w:val="left" w:pos="2930"/>
        </w:tabs>
        <w:spacing w:after="0"/>
      </w:pPr>
      <w:r>
        <w:t>December</w:t>
      </w:r>
      <w:r w:rsidR="001B50AA">
        <w:t xml:space="preserve"> </w:t>
      </w:r>
      <w:r>
        <w:t>3rd</w:t>
      </w:r>
      <w:r w:rsidR="00232ABA">
        <w:t>,</w:t>
      </w:r>
      <w:r w:rsidR="007752EC">
        <w:t xml:space="preserve">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025A0A5F" w:rsidR="005A37C3" w:rsidRPr="00E90318" w:rsidRDefault="0020333E" w:rsidP="00C62185">
      <w:pPr>
        <w:pStyle w:val="Subhead3"/>
      </w:pPr>
      <w:r>
        <w:t>Minutes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45279CF6" w14:textId="1112334C" w:rsidR="002E6B7D" w:rsidRDefault="005C664A" w:rsidP="0095454D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Welcome</w:t>
            </w:r>
          </w:p>
          <w:p w14:paraId="17A3B86E" w14:textId="77777777" w:rsidR="003C1409" w:rsidRDefault="003C1409" w:rsidP="003C4836">
            <w:pPr>
              <w:pStyle w:val="VHACCTableNormalBold"/>
              <w:numPr>
                <w:ilvl w:val="0"/>
                <w:numId w:val="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IVC reorganization is still moving forward</w:t>
            </w:r>
          </w:p>
          <w:p w14:paraId="308B28D0" w14:textId="77777777" w:rsidR="003C1409" w:rsidRDefault="003C1409" w:rsidP="003C4836">
            <w:pPr>
              <w:pStyle w:val="VHACCTableNormalBold"/>
              <w:numPr>
                <w:ilvl w:val="0"/>
                <w:numId w:val="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Kristin Mattocks </w:t>
            </w:r>
          </w:p>
          <w:p w14:paraId="3D2C9581" w14:textId="59C57D07" w:rsidR="00370E43" w:rsidRDefault="003C1409" w:rsidP="003C4836">
            <w:pPr>
              <w:pStyle w:val="VHACCTableNormalBold"/>
              <w:numPr>
                <w:ilvl w:val="1"/>
                <w:numId w:val="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HSR&amp;D has permitted a request for proposals in intersection between OCC and OVAC </w:t>
            </w:r>
          </w:p>
          <w:p w14:paraId="5A8C02A6" w14:textId="5831E6BA" w:rsidR="00836FD1" w:rsidRPr="003C4836" w:rsidRDefault="003C1409" w:rsidP="003C4836">
            <w:pPr>
              <w:pStyle w:val="VHACCTableNormalBold"/>
              <w:numPr>
                <w:ilvl w:val="2"/>
                <w:numId w:val="9"/>
              </w:numPr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Refferal</w:t>
            </w:r>
            <w:proofErr w:type="spellEnd"/>
            <w:r>
              <w:rPr>
                <w:b w:val="0"/>
                <w:szCs w:val="24"/>
              </w:rPr>
              <w:t xml:space="preserve"> Coordination, High Performing Providers (also quality metrics to improve HPP)</w:t>
            </w:r>
          </w:p>
        </w:tc>
        <w:tc>
          <w:tcPr>
            <w:tcW w:w="2138" w:type="dxa"/>
            <w:shd w:val="clear" w:color="auto" w:fill="auto"/>
          </w:tcPr>
          <w:p w14:paraId="0C907FE7" w14:textId="77777777" w:rsidR="0042252A" w:rsidRDefault="009F6520" w:rsidP="004E31D5">
            <w:pPr>
              <w:pStyle w:val="VHACCTableNormalBold"/>
              <w:rPr>
                <w:b w:val="0"/>
                <w:bCs/>
              </w:rPr>
            </w:pPr>
            <w:r w:rsidRPr="009F6520">
              <w:rPr>
                <w:b w:val="0"/>
                <w:bCs/>
              </w:rPr>
              <w:t xml:space="preserve">Kristin </w:t>
            </w:r>
            <w:r w:rsidR="00141303">
              <w:rPr>
                <w:b w:val="0"/>
                <w:bCs/>
              </w:rPr>
              <w:t>C</w:t>
            </w:r>
            <w:r w:rsidR="00770102">
              <w:rPr>
                <w:b w:val="0"/>
                <w:bCs/>
              </w:rPr>
              <w:t>unningham</w:t>
            </w:r>
          </w:p>
          <w:p w14:paraId="61DE09AE" w14:textId="77777777" w:rsidR="003C1409" w:rsidRDefault="003C1409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Dr. Flynn </w:t>
            </w:r>
          </w:p>
          <w:p w14:paraId="3287A7FE" w14:textId="77777777" w:rsidR="00836FD1" w:rsidRDefault="00836FD1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Kristin Mattocks </w:t>
            </w:r>
          </w:p>
          <w:p w14:paraId="484E86CD" w14:textId="5770F2D9" w:rsidR="003C4836" w:rsidRPr="009F6520" w:rsidRDefault="003C4836" w:rsidP="004E31D5">
            <w:pPr>
              <w:pStyle w:val="VHACCTableNormalBold"/>
              <w:rPr>
                <w:b w:val="0"/>
                <w:bCs/>
                <w:szCs w:val="24"/>
              </w:rPr>
            </w:pPr>
          </w:p>
        </w:tc>
      </w:tr>
      <w:tr w:rsidR="009A2840" w:rsidRPr="00E90318" w14:paraId="2C43EBA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5524580F" w14:textId="77777777" w:rsidR="00AC2BA4" w:rsidRDefault="007B0755" w:rsidP="00EA5DF1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PIT Data Question </w:t>
            </w:r>
          </w:p>
          <w:p w14:paraId="3A51EF0C" w14:textId="77777777" w:rsidR="007B0755" w:rsidRDefault="007B0755" w:rsidP="003C4836">
            <w:pPr>
              <w:pStyle w:val="VHACCTableNormalBold"/>
              <w:numPr>
                <w:ilvl w:val="0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Researchers interested in VA purchased care </w:t>
            </w:r>
            <w:proofErr w:type="gramStart"/>
            <w:r>
              <w:rPr>
                <w:b w:val="0"/>
                <w:bCs/>
                <w:szCs w:val="24"/>
              </w:rPr>
              <w:t>have to</w:t>
            </w:r>
            <w:proofErr w:type="gramEnd"/>
            <w:r>
              <w:rPr>
                <w:b w:val="0"/>
                <w:bCs/>
                <w:szCs w:val="24"/>
              </w:rPr>
              <w:t xml:space="preserve"> use PIT data. However, OCC has </w:t>
            </w:r>
            <w:proofErr w:type="gramStart"/>
            <w:r>
              <w:rPr>
                <w:b w:val="0"/>
                <w:bCs/>
                <w:szCs w:val="24"/>
              </w:rPr>
              <w:t>recommended  using</w:t>
            </w:r>
            <w:proofErr w:type="gramEnd"/>
            <w:r>
              <w:rPr>
                <w:b w:val="0"/>
                <w:bCs/>
                <w:szCs w:val="24"/>
              </w:rPr>
              <w:t xml:space="preserve"> source data (</w:t>
            </w:r>
            <w:proofErr w:type="spellStart"/>
            <w:r>
              <w:rPr>
                <w:b w:val="0"/>
                <w:bCs/>
                <w:szCs w:val="24"/>
              </w:rPr>
              <w:t>eCAMS</w:t>
            </w:r>
            <w:proofErr w:type="spellEnd"/>
            <w:r>
              <w:rPr>
                <w:b w:val="0"/>
                <w:bCs/>
                <w:szCs w:val="24"/>
              </w:rPr>
              <w:t>, CCCRS, etc.) instead. Unfortunately, researchers don’t have access to the source data. Is there advice on how best to use PIT data or whether there is a plan to provide researchers with source data?</w:t>
            </w:r>
          </w:p>
          <w:p w14:paraId="65BAD8ED" w14:textId="77777777" w:rsidR="003C1409" w:rsidRDefault="003C1409" w:rsidP="003C4836">
            <w:pPr>
              <w:pStyle w:val="VHACCTableNormalBold"/>
              <w:numPr>
                <w:ilvl w:val="0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Matt Labo and Matt Czegan </w:t>
            </w:r>
          </w:p>
          <w:p w14:paraId="6C293512" w14:textId="3A8D4D1C" w:rsidR="003C1409" w:rsidRDefault="003C1409" w:rsidP="003C4836">
            <w:pPr>
              <w:pStyle w:val="VHACCTableNormalBold"/>
              <w:numPr>
                <w:ilvl w:val="1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All data sources are listed</w:t>
            </w:r>
            <w:r w:rsidR="00DD044B">
              <w:rPr>
                <w:b w:val="0"/>
                <w:bCs/>
                <w:szCs w:val="24"/>
              </w:rPr>
              <w:t xml:space="preserve"> </w:t>
            </w:r>
            <w:hyperlink r:id="rId11" w:history="1">
              <w:r w:rsidR="00DD044B" w:rsidRPr="00DD044B">
                <w:rPr>
                  <w:rStyle w:val="Hyperlink"/>
                  <w:rFonts w:ascii="Calibri" w:hAnsi="Calibri"/>
                  <w:b w:val="0"/>
                  <w:bCs/>
                  <w:sz w:val="24"/>
                  <w:szCs w:val="24"/>
                </w:rPr>
                <w:t>here</w:t>
              </w:r>
            </w:hyperlink>
            <w:r>
              <w:rPr>
                <w:b w:val="0"/>
                <w:bCs/>
                <w:szCs w:val="24"/>
              </w:rPr>
              <w:t xml:space="preserve"> and on a spreadsheet </w:t>
            </w:r>
          </w:p>
          <w:p w14:paraId="232E8751" w14:textId="77777777" w:rsidR="003C1409" w:rsidRDefault="003C1409" w:rsidP="003C4836">
            <w:pPr>
              <w:pStyle w:val="VHACCTableNormalBold"/>
              <w:numPr>
                <w:ilvl w:val="1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Most data are publicly available in (CDW)</w:t>
            </w:r>
          </w:p>
          <w:p w14:paraId="2D196DA0" w14:textId="5EA1404B" w:rsidR="003C1409" w:rsidRDefault="003C1409" w:rsidP="003C4836">
            <w:pPr>
              <w:pStyle w:val="VHACCTableNormalBold"/>
              <w:numPr>
                <w:ilvl w:val="1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Researchers don’t seem to have access to AO6, team have been in contact with </w:t>
            </w:r>
            <w:proofErr w:type="spellStart"/>
            <w:r>
              <w:rPr>
                <w:b w:val="0"/>
                <w:bCs/>
                <w:szCs w:val="24"/>
              </w:rPr>
              <w:t>Vinchy</w:t>
            </w:r>
            <w:proofErr w:type="spellEnd"/>
            <w:r>
              <w:rPr>
                <w:b w:val="0"/>
                <w:bCs/>
                <w:szCs w:val="24"/>
              </w:rPr>
              <w:t xml:space="preserve"> to troubleshoot </w:t>
            </w:r>
          </w:p>
          <w:p w14:paraId="7E54F731" w14:textId="6D30310E" w:rsidR="003C1409" w:rsidRPr="00836FD1" w:rsidRDefault="003C1409" w:rsidP="003C4836">
            <w:pPr>
              <w:pStyle w:val="VHACCTableNormalBold"/>
              <w:numPr>
                <w:ilvl w:val="1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Data exists in cloud space, Sequel52, CDW </w:t>
            </w:r>
          </w:p>
        </w:tc>
        <w:tc>
          <w:tcPr>
            <w:tcW w:w="2138" w:type="dxa"/>
            <w:shd w:val="clear" w:color="auto" w:fill="auto"/>
          </w:tcPr>
          <w:p w14:paraId="2CEBEA55" w14:textId="30609F24" w:rsidR="0073506C" w:rsidRDefault="007B0755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Todd Wagner</w:t>
            </w:r>
            <w:r w:rsidR="0073506C">
              <w:rPr>
                <w:b w:val="0"/>
                <w:bCs/>
              </w:rPr>
              <w:t xml:space="preserve"> </w:t>
            </w:r>
          </w:p>
          <w:p w14:paraId="05C5EC91" w14:textId="1866E7D4" w:rsidR="0002420A" w:rsidRDefault="0002420A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Matt Labo</w:t>
            </w:r>
          </w:p>
          <w:p w14:paraId="42E3487D" w14:textId="77777777" w:rsidR="007B0755" w:rsidRDefault="007B0755" w:rsidP="007B0755">
            <w:pPr>
              <w:rPr>
                <w:rFonts w:eastAsiaTheme="minorHAnsi" w:cstheme="minorBidi"/>
                <w:bCs/>
                <w:sz w:val="24"/>
                <w:szCs w:val="22"/>
              </w:rPr>
            </w:pPr>
          </w:p>
          <w:p w14:paraId="1C9C1E52" w14:textId="700ACF3D" w:rsidR="007B0755" w:rsidRPr="007B0755" w:rsidRDefault="007B0755" w:rsidP="007B0755">
            <w:pPr>
              <w:tabs>
                <w:tab w:val="left" w:pos="495"/>
              </w:tabs>
            </w:pPr>
            <w:r>
              <w:tab/>
            </w:r>
          </w:p>
        </w:tc>
      </w:tr>
      <w:tr w:rsidR="003C1409" w:rsidRPr="00E90318" w14:paraId="6C97DCB8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F53584" w14:textId="66BB5B45" w:rsidR="003C1409" w:rsidRDefault="003C1409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01431852" w14:textId="3BA7E6ED" w:rsidR="003C1409" w:rsidRDefault="003C1409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HPP </w:t>
            </w:r>
          </w:p>
          <w:p w14:paraId="702242B4" w14:textId="77777777" w:rsidR="003C1409" w:rsidRDefault="003C1409" w:rsidP="003C4836">
            <w:pPr>
              <w:pStyle w:val="VHACCTableNormalBold"/>
              <w:numPr>
                <w:ilvl w:val="0"/>
                <w:numId w:val="1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Looking for a new name for this designation </w:t>
            </w:r>
          </w:p>
          <w:p w14:paraId="72BFACE4" w14:textId="77777777" w:rsidR="003C1409" w:rsidRDefault="003C1409" w:rsidP="003C4836">
            <w:pPr>
              <w:pStyle w:val="VHACCTableNormalBold"/>
              <w:numPr>
                <w:ilvl w:val="0"/>
                <w:numId w:val="1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Possibilities: VA Quality Care Verified, CCN High Quality Verified </w:t>
            </w:r>
          </w:p>
          <w:p w14:paraId="1750E432" w14:textId="77777777" w:rsidR="003C1409" w:rsidRDefault="003C1409" w:rsidP="003C4836">
            <w:pPr>
              <w:pStyle w:val="VHACCTableNormalBold"/>
              <w:numPr>
                <w:ilvl w:val="0"/>
                <w:numId w:val="1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Any suggestions that we can share to other stakeholders </w:t>
            </w:r>
          </w:p>
          <w:p w14:paraId="4D485109" w14:textId="77777777" w:rsidR="003C1409" w:rsidRDefault="003C1409" w:rsidP="003C4836">
            <w:pPr>
              <w:pStyle w:val="VHACCTableNormalBold"/>
              <w:numPr>
                <w:ilvl w:val="1"/>
                <w:numId w:val="1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Preferred provider (same language to private care world) </w:t>
            </w:r>
          </w:p>
          <w:p w14:paraId="5F12D574" w14:textId="631AA7AA" w:rsidR="003C1409" w:rsidRPr="003C1409" w:rsidRDefault="003C1409" w:rsidP="003C4836">
            <w:pPr>
              <w:pStyle w:val="VHACCTableNormalBold"/>
              <w:numPr>
                <w:ilvl w:val="1"/>
                <w:numId w:val="1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Could also indicate available (</w:t>
            </w:r>
            <w:r w:rsidR="00836FD1">
              <w:rPr>
                <w:b w:val="0"/>
                <w:szCs w:val="24"/>
              </w:rPr>
              <w:t>taking new patients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7093AE6F" w14:textId="4557A5B8" w:rsidR="003C1409" w:rsidRDefault="003C1409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szCs w:val="24"/>
              </w:rPr>
              <w:t>Dr. Greenstone</w:t>
            </w:r>
          </w:p>
        </w:tc>
      </w:tr>
      <w:tr w:rsidR="003C1409" w:rsidRPr="00E90318" w14:paraId="251D0E53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353CE33B" w14:textId="3CA94D18" w:rsidR="003C1409" w:rsidRDefault="003C1409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02" w:type="dxa"/>
            <w:shd w:val="clear" w:color="auto" w:fill="auto"/>
          </w:tcPr>
          <w:p w14:paraId="59986DEF" w14:textId="7F752514" w:rsidR="003C1409" w:rsidRDefault="00836FD1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Community Care Authorizations (data provided by Paril)</w:t>
            </w:r>
          </w:p>
          <w:p w14:paraId="3E932439" w14:textId="1CE401DE" w:rsidR="00836FD1" w:rsidRDefault="00836FD1" w:rsidP="003C4836">
            <w:pPr>
              <w:pStyle w:val="VHACCTableNormalBold"/>
              <w:numPr>
                <w:ilvl w:val="0"/>
                <w:numId w:val="11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Authorizations cover entire episodes and can be limited by number of visits or by duration (there can be multiple visits per authorization) </w:t>
            </w:r>
          </w:p>
          <w:p w14:paraId="7BE618E9" w14:textId="3FF82CCC" w:rsidR="00836FD1" w:rsidRDefault="00836FD1" w:rsidP="003C4836">
            <w:pPr>
              <w:pStyle w:val="VHACCTableNormalBold"/>
              <w:numPr>
                <w:ilvl w:val="0"/>
                <w:numId w:val="11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All appointment data are based on unique dates of service (based on claims data)</w:t>
            </w:r>
          </w:p>
        </w:tc>
        <w:tc>
          <w:tcPr>
            <w:tcW w:w="2138" w:type="dxa"/>
            <w:shd w:val="clear" w:color="auto" w:fill="auto"/>
          </w:tcPr>
          <w:p w14:paraId="4556919D" w14:textId="1DA3034A" w:rsidR="003C1409" w:rsidRDefault="00836FD1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Kristin Mattocks </w:t>
            </w:r>
          </w:p>
        </w:tc>
      </w:tr>
      <w:tr w:rsidR="003C4836" w:rsidRPr="00E90318" w14:paraId="00B09E93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2630044B" w14:textId="12C01066" w:rsidR="003C4836" w:rsidRDefault="003C4836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02" w:type="dxa"/>
            <w:shd w:val="clear" w:color="auto" w:fill="auto"/>
          </w:tcPr>
          <w:p w14:paraId="2E06E9EF" w14:textId="32CFDD1D" w:rsidR="003C4836" w:rsidRDefault="003C4836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HSR&amp;D Proposals Cont.</w:t>
            </w:r>
          </w:p>
          <w:p w14:paraId="500A535A" w14:textId="77777777" w:rsidR="003C4836" w:rsidRDefault="003C4836" w:rsidP="003C4836">
            <w:pPr>
              <w:pStyle w:val="VHACCTableNormalBold"/>
              <w:numPr>
                <w:ilvl w:val="0"/>
                <w:numId w:val="1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Another Topic: How does VA operational policy impact (negatively or positively) community care safety/h</w:t>
            </w:r>
            <w:r w:rsidRPr="00836FD1">
              <w:rPr>
                <w:b w:val="0"/>
                <w:szCs w:val="24"/>
              </w:rPr>
              <w:t>ow do they compare to community policies</w:t>
            </w:r>
            <w:r>
              <w:rPr>
                <w:b w:val="0"/>
                <w:szCs w:val="24"/>
              </w:rPr>
              <w:t>/does this vary by region?</w:t>
            </w:r>
          </w:p>
          <w:p w14:paraId="1B218A1D" w14:textId="37EC7E23" w:rsidR="00FD6837" w:rsidRDefault="00FD6837" w:rsidP="00FD6837">
            <w:pPr>
              <w:pStyle w:val="VHACCTableNormalBold"/>
              <w:numPr>
                <w:ilvl w:val="0"/>
                <w:numId w:val="1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Researchers will present findings to OCC upon completion</w:t>
            </w:r>
          </w:p>
        </w:tc>
        <w:tc>
          <w:tcPr>
            <w:tcW w:w="2138" w:type="dxa"/>
            <w:shd w:val="clear" w:color="auto" w:fill="auto"/>
          </w:tcPr>
          <w:p w14:paraId="4B7FBBBB" w14:textId="77777777" w:rsidR="003C4836" w:rsidRDefault="003C4836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Dr. Yende</w:t>
            </w:r>
          </w:p>
          <w:p w14:paraId="70BC3E58" w14:textId="3EE83695" w:rsidR="00596F82" w:rsidRDefault="00596F82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</w:p>
        </w:tc>
      </w:tr>
      <w:tr w:rsidR="00BB4FA4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0F508618" w:rsidR="00BB4FA4" w:rsidRDefault="003C4836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7402" w:type="dxa"/>
            <w:shd w:val="clear" w:color="auto" w:fill="auto"/>
          </w:tcPr>
          <w:p w14:paraId="0ADA7BCE" w14:textId="77777777" w:rsidR="00BB4FA4" w:rsidRDefault="00BB4FA4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Wrap Up</w:t>
            </w:r>
          </w:p>
          <w:p w14:paraId="36C3ED0C" w14:textId="09436FBF" w:rsidR="00831E32" w:rsidRPr="00831E32" w:rsidRDefault="00836FD1" w:rsidP="00831E32">
            <w:pPr>
              <w:pStyle w:val="VHACCTableNormalBold"/>
              <w:numPr>
                <w:ilvl w:val="0"/>
                <w:numId w:val="12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Next CREEK Quarterly call will have VISN 1 Network Director challenges and management between VA care and community care (12/15/21)</w:t>
            </w:r>
          </w:p>
          <w:p w14:paraId="0CC18BEF" w14:textId="6B85E3ED" w:rsidR="00831E32" w:rsidRPr="00831E32" w:rsidRDefault="00831E32" w:rsidP="00831E32">
            <w:pPr>
              <w:pStyle w:val="VHACCTableNormalBold"/>
              <w:numPr>
                <w:ilvl w:val="0"/>
                <w:numId w:val="12"/>
              </w:numPr>
              <w:rPr>
                <w:rFonts w:cs="Calibri"/>
                <w:b w:val="0"/>
                <w:bCs/>
                <w:szCs w:val="24"/>
              </w:rPr>
            </w:pPr>
            <w:r>
              <w:rPr>
                <w:b w:val="0"/>
                <w:bCs/>
              </w:rPr>
              <w:t xml:space="preserve">Please see the CREEK Center website: </w:t>
            </w:r>
            <w:hyperlink r:id="rId12" w:history="1">
              <w:r w:rsidRPr="00831E32">
                <w:rPr>
                  <w:rStyle w:val="Hyperlink"/>
                  <w:rFonts w:ascii="Calibri" w:hAnsi="Calibri" w:cs="Calibri"/>
                  <w:b w:val="0"/>
                  <w:bCs/>
                </w:rPr>
                <w:t>Community Care Research Evaluation &amp; Knowledge (CREEK) Center</w:t>
              </w:r>
            </w:hyperlink>
          </w:p>
          <w:p w14:paraId="7BF3164E" w14:textId="46BAF122" w:rsidR="00831E32" w:rsidRDefault="00831E32" w:rsidP="00831E32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10B59262" w14:textId="77777777" w:rsidR="00BB4FA4" w:rsidRDefault="000F5E98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Kristin </w:t>
            </w:r>
            <w:r w:rsidR="00141303">
              <w:rPr>
                <w:b w:val="0"/>
                <w:bCs/>
              </w:rPr>
              <w:t>C</w:t>
            </w:r>
          </w:p>
          <w:p w14:paraId="37ABA2B3" w14:textId="7C3B8282" w:rsidR="00836FD1" w:rsidRPr="00F43111" w:rsidRDefault="00836FD1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64AC2A4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2C4D9A9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E90318" w:rsidRDefault="00D91CD3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  <w:tr w:rsidR="00F61F13" w:rsidRPr="00E90318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4BAC4D01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064978C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099ACA9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458168AE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5670" w14:textId="77777777" w:rsidR="00F07FDF" w:rsidRDefault="00F07FDF" w:rsidP="00B74ACE">
      <w:pPr>
        <w:spacing w:after="0" w:line="240" w:lineRule="auto"/>
      </w:pPr>
      <w:r>
        <w:separator/>
      </w:r>
    </w:p>
  </w:endnote>
  <w:endnote w:type="continuationSeparator" w:id="0">
    <w:p w14:paraId="684F4AA5" w14:textId="77777777" w:rsidR="00F07FDF" w:rsidRDefault="00F07FDF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0" w14:textId="48925B8C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AA755E">
      <w:rPr>
        <w:rFonts w:ascii="Arial" w:hAnsi="Arial"/>
        <w:noProof/>
      </w:rPr>
      <w:t>1/3/2022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B0E0" w14:textId="77777777" w:rsidR="00F07FDF" w:rsidRDefault="00F07FDF" w:rsidP="00B74ACE">
      <w:pPr>
        <w:spacing w:after="0" w:line="240" w:lineRule="auto"/>
      </w:pPr>
      <w:r>
        <w:separator/>
      </w:r>
    </w:p>
  </w:footnote>
  <w:footnote w:type="continuationSeparator" w:id="0">
    <w:p w14:paraId="65D98D94" w14:textId="77777777" w:rsidR="00F07FDF" w:rsidRDefault="00F07FDF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6081996"/>
    <w:multiLevelType w:val="hybridMultilevel"/>
    <w:tmpl w:val="AD78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BD4D53"/>
    <w:multiLevelType w:val="hybridMultilevel"/>
    <w:tmpl w:val="DCA4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D6907"/>
    <w:multiLevelType w:val="hybridMultilevel"/>
    <w:tmpl w:val="173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9CF"/>
    <w:multiLevelType w:val="hybridMultilevel"/>
    <w:tmpl w:val="78EE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B0BA4"/>
    <w:multiLevelType w:val="hybridMultilevel"/>
    <w:tmpl w:val="723C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20A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5E98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1303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0374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50AA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33E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ABA"/>
    <w:rsid w:val="00232B6B"/>
    <w:rsid w:val="0024014F"/>
    <w:rsid w:val="00243058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1866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323A"/>
    <w:rsid w:val="003240F2"/>
    <w:rsid w:val="00324F78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70E43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1409"/>
    <w:rsid w:val="003C234F"/>
    <w:rsid w:val="003C4836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21BE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45B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17E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96F82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506C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102"/>
    <w:rsid w:val="00770A94"/>
    <w:rsid w:val="0077252D"/>
    <w:rsid w:val="007747A5"/>
    <w:rsid w:val="007752EC"/>
    <w:rsid w:val="0077584C"/>
    <w:rsid w:val="007877A0"/>
    <w:rsid w:val="007926DC"/>
    <w:rsid w:val="00795393"/>
    <w:rsid w:val="007A4E65"/>
    <w:rsid w:val="007A5DB7"/>
    <w:rsid w:val="007A7107"/>
    <w:rsid w:val="007A7C96"/>
    <w:rsid w:val="007B0755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1E32"/>
    <w:rsid w:val="008321D4"/>
    <w:rsid w:val="00832B99"/>
    <w:rsid w:val="00832E1E"/>
    <w:rsid w:val="0083426B"/>
    <w:rsid w:val="00836F75"/>
    <w:rsid w:val="00836FD1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162"/>
    <w:rsid w:val="008B025D"/>
    <w:rsid w:val="008B724C"/>
    <w:rsid w:val="008C140E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68C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59D3"/>
    <w:rsid w:val="009F6520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A755E"/>
    <w:rsid w:val="00AB35C4"/>
    <w:rsid w:val="00AB4ABA"/>
    <w:rsid w:val="00AB726F"/>
    <w:rsid w:val="00AC2A74"/>
    <w:rsid w:val="00AC2BA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1FE2"/>
    <w:rsid w:val="00BC4F4F"/>
    <w:rsid w:val="00BC5240"/>
    <w:rsid w:val="00BC5EA4"/>
    <w:rsid w:val="00BC6734"/>
    <w:rsid w:val="00BC690A"/>
    <w:rsid w:val="00BC74E6"/>
    <w:rsid w:val="00BD2172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510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044B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A2F54"/>
    <w:rsid w:val="00EA5BE3"/>
    <w:rsid w:val="00EA5DF1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69BA"/>
    <w:rsid w:val="00FA7637"/>
    <w:rsid w:val="00FB2A88"/>
    <w:rsid w:val="00FB2B69"/>
    <w:rsid w:val="00FB2E4D"/>
    <w:rsid w:val="00FC565C"/>
    <w:rsid w:val="00FC5D76"/>
    <w:rsid w:val="00FC736D"/>
    <w:rsid w:val="00FD6837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rd.research.va.gov/centers/cree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vrm.km.va.gov/system/templates/selfservice/va_kanew/help/agent/locale/en-US/portal/554400000001014/content/554400000183882/0308-Community-Care-Data-Loc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40A80-14A6-4336-BFAF-25A383918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b9c788-5c51-4acc-a991-1d64aa7c36d8"/>
    <ds:schemaRef ds:uri="17bb79b7-74e2-4768-ad9f-91a2e6b6bf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December 3, 2021</vt:lpstr>
    </vt:vector>
  </TitlesOfParts>
  <Company>Veteran Affairs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December 3, 2021</dc:title>
  <dc:subject>OCC Agenda Minutes December 3, 2021</dc:subject>
  <dc:creator>Department of Veterans Affairs</dc:creator>
  <cp:keywords>OCC, office of community care, VA, Dept of Veterans Affairs, minutes agenda template</cp:keywords>
  <cp:lastModifiedBy>Rivera, Portia T</cp:lastModifiedBy>
  <cp:revision>10</cp:revision>
  <cp:lastPrinted>2018-06-05T20:18:00Z</cp:lastPrinted>
  <dcterms:created xsi:type="dcterms:W3CDTF">2021-12-03T16:49:00Z</dcterms:created>
  <dcterms:modified xsi:type="dcterms:W3CDTF">2022-01-03T19:05:00Z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